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ato" w:cs="Lato" w:eastAsia="Lato" w:hAnsi="Lato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Lato" w:cs="Lato" w:eastAsia="Lato" w:hAnsi="Lato"/>
          <w:b w:val="1"/>
          <w:sz w:val="36"/>
          <w:szCs w:val="36"/>
        </w:rPr>
      </w:pPr>
      <w:r w:rsidDel="00000000" w:rsidR="00000000" w:rsidRPr="00000000">
        <w:rPr>
          <w:rFonts w:ascii="Lato" w:cs="Lato" w:eastAsia="Lato" w:hAnsi="Lato"/>
          <w:b w:val="1"/>
          <w:sz w:val="36"/>
          <w:szCs w:val="36"/>
          <w:rtl w:val="0"/>
        </w:rPr>
        <w:t xml:space="preserve">Resources for Youth Civil Conversations</w:t>
      </w:r>
    </w:p>
    <w:p w:rsidR="00000000" w:rsidDel="00000000" w:rsidP="00000000" w:rsidRDefault="00000000" w:rsidRPr="00000000" w14:paraId="00000003">
      <w:pPr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Interfaith Relationships &amp; Religious Identity </w:t>
      </w:r>
    </w:p>
    <w:p w:rsidR="00000000" w:rsidDel="00000000" w:rsidP="00000000" w:rsidRDefault="00000000" w:rsidRPr="00000000" w14:paraId="00000005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Audio</w:t>
      </w:r>
    </w:p>
    <w:p w:rsidR="00000000" w:rsidDel="00000000" w:rsidP="00000000" w:rsidRDefault="00000000" w:rsidRPr="00000000" w14:paraId="00000007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 </w:t>
      </w:r>
      <w:hyperlink r:id="rId6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“</w:t>
        </w:r>
      </w:hyperlink>
      <w:hyperlink r:id="rId7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Amina Amdeen and Joseph Weidknecht”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 from StoryCorps (3:11)</w:t>
      </w:r>
    </w:p>
    <w:p w:rsidR="00000000" w:rsidDel="00000000" w:rsidP="00000000" w:rsidRDefault="00000000" w:rsidRPr="00000000" w14:paraId="00000008">
      <w:pPr>
        <w:rPr>
          <w:rFonts w:ascii="Lato" w:cs="Lato" w:eastAsia="Lato" w:hAnsi="Lato"/>
        </w:rPr>
      </w:pPr>
      <w:hyperlink r:id="rId8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https://storycorps.org/stories/amina-amdeen-and-joseph-weidknecht-180928/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A liberal Muslim-American and a Trump supporter talk about their unexpected meeting at a protest.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Video</w:t>
      </w:r>
    </w:p>
    <w:p w:rsidR="00000000" w:rsidDel="00000000" w:rsidP="00000000" w:rsidRDefault="00000000" w:rsidRPr="00000000" w14:paraId="0000000C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Windows and Mirrors,</w:t>
      </w:r>
      <w:hyperlink r:id="rId9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 “Religion”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 from Hallease  (11:31)</w:t>
      </w:r>
    </w:p>
    <w:p w:rsidR="00000000" w:rsidDel="00000000" w:rsidP="00000000" w:rsidRDefault="00000000" w:rsidRPr="00000000" w14:paraId="0000000D">
      <w:pPr>
        <w:rPr>
          <w:rFonts w:ascii="Lato" w:cs="Lato" w:eastAsia="Lato" w:hAnsi="Lato"/>
        </w:rPr>
      </w:pPr>
      <w:hyperlink r:id="rId10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https://www.youtube.com/watch?v=</w:t>
        </w:r>
      </w:hyperlink>
      <w:hyperlink r:id="rId11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KvWEC2Z0CCU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YouTuber and internet creator Hallease interviews people from different religious backgrounds about why they cover their hair.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Belonging</w:t>
      </w:r>
    </w:p>
    <w:p w:rsidR="00000000" w:rsidDel="00000000" w:rsidP="00000000" w:rsidRDefault="00000000" w:rsidRPr="00000000" w14:paraId="00000011">
      <w:pPr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Video</w:t>
      </w:r>
    </w:p>
    <w:p w:rsidR="00000000" w:rsidDel="00000000" w:rsidP="00000000" w:rsidRDefault="00000000" w:rsidRPr="00000000" w14:paraId="00000013">
      <w:pPr>
        <w:rPr>
          <w:rFonts w:ascii="Lato" w:cs="Lato" w:eastAsia="Lato" w:hAnsi="Lato"/>
        </w:rPr>
      </w:pPr>
      <w:hyperlink r:id="rId12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“If I Should Have a Daughter” 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from TED (18:22)</w:t>
      </w:r>
    </w:p>
    <w:p w:rsidR="00000000" w:rsidDel="00000000" w:rsidP="00000000" w:rsidRDefault="00000000" w:rsidRPr="00000000" w14:paraId="00000014">
      <w:pPr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Spoken word poet Sarah Kay speaks about growing up and finding her voice through poetry.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Audio</w:t>
      </w:r>
    </w:p>
    <w:p w:rsidR="00000000" w:rsidDel="00000000" w:rsidP="00000000" w:rsidRDefault="00000000" w:rsidRPr="00000000" w14:paraId="00000017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 </w:t>
      </w:r>
      <w:hyperlink r:id="rId13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“Michael Wilmoth and Bryan Wilmoth”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 from StoryCorps</w:t>
      </w:r>
    </w:p>
    <w:p w:rsidR="00000000" w:rsidDel="00000000" w:rsidP="00000000" w:rsidRDefault="00000000" w:rsidRPr="00000000" w14:paraId="00000018">
      <w:pPr>
        <w:rPr>
          <w:rFonts w:ascii="Lato" w:cs="Lato" w:eastAsia="Lato" w:hAnsi="Lato"/>
        </w:rPr>
      </w:pPr>
      <w:hyperlink r:id="rId14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https://storycorps.org/stories/bryan-and-michael-wilmoth/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Bryan Wilmoth’s father kicked him out of the house when he discovered Bryan was gay. Years later, Bryan talks to his brother Michael about reconnecting with their siblings as adults.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2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Video version: </w:t>
      </w:r>
      <w:hyperlink r:id="rId15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https://storycorps.org/animation/a-good-man/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Diversity and Resilience</w:t>
      </w:r>
    </w:p>
    <w:p w:rsidR="00000000" w:rsidDel="00000000" w:rsidP="00000000" w:rsidRDefault="00000000" w:rsidRPr="00000000" w14:paraId="0000001D">
      <w:pPr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Audio</w:t>
      </w:r>
    </w:p>
    <w:p w:rsidR="00000000" w:rsidDel="00000000" w:rsidP="00000000" w:rsidRDefault="00000000" w:rsidRPr="00000000" w14:paraId="0000001F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 “</w:t>
      </w:r>
      <w:hyperlink r:id="rId16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The Good in the Other, the Doubt in Ourselves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” from 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Becoming Wise </w:t>
      </w:r>
      <w:r w:rsidDel="00000000" w:rsidR="00000000" w:rsidRPr="00000000">
        <w:rPr>
          <w:rFonts w:ascii="Lato" w:cs="Lato" w:eastAsia="Lato" w:hAnsi="Lato"/>
          <w:rtl w:val="0"/>
        </w:rPr>
        <w:t xml:space="preserve">(9:34)</w:t>
      </w:r>
    </w:p>
    <w:p w:rsidR="00000000" w:rsidDel="00000000" w:rsidP="00000000" w:rsidRDefault="00000000" w:rsidRPr="00000000" w14:paraId="00000020">
      <w:pPr>
        <w:rPr>
          <w:rFonts w:ascii="Lato" w:cs="Lato" w:eastAsia="Lato" w:hAnsi="Lato"/>
        </w:rPr>
      </w:pPr>
      <w:hyperlink r:id="rId17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https://onbeing.org/programs/good-doubt-frances-kissling/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Frances Kissling, the former head of Catholics for Choice, considers the productive and valuable things that can happen when we are “vulnerable in front of people we passionately disagree with”.</w:t>
      </w:r>
    </w:p>
    <w:p w:rsidR="00000000" w:rsidDel="00000000" w:rsidP="00000000" w:rsidRDefault="00000000" w:rsidRPr="00000000" w14:paraId="00000022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Video</w:t>
      </w:r>
    </w:p>
    <w:p w:rsidR="00000000" w:rsidDel="00000000" w:rsidP="00000000" w:rsidRDefault="00000000" w:rsidRPr="00000000" w14:paraId="00000024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 </w:t>
      </w:r>
      <w:hyperlink r:id="rId18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“The Danger of a Single Story”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 from TED (18:49) </w:t>
      </w:r>
    </w:p>
    <w:p w:rsidR="00000000" w:rsidDel="00000000" w:rsidP="00000000" w:rsidRDefault="00000000" w:rsidRPr="00000000" w14:paraId="00000025">
      <w:pPr>
        <w:rPr>
          <w:rFonts w:ascii="Lato" w:cs="Lato" w:eastAsia="Lato" w:hAnsi="Lato"/>
        </w:rPr>
      </w:pPr>
      <w:hyperlink r:id="rId19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https://www.ted.com/talks/chimamanda_adichie_the_danger_of_a_single_story?language=en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  </w:t>
      </w:r>
    </w:p>
    <w:p w:rsidR="00000000" w:rsidDel="00000000" w:rsidP="00000000" w:rsidRDefault="00000000" w:rsidRPr="00000000" w14:paraId="00000026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Author Chimamanda Ngozi Adichie discusses about stereotypes and the consequences of reducing the complexity of humans to a single narrative. </w:t>
      </w:r>
    </w:p>
    <w:p w:rsidR="00000000" w:rsidDel="00000000" w:rsidP="00000000" w:rsidRDefault="00000000" w:rsidRPr="00000000" w14:paraId="00000027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Politics and Current Events</w:t>
      </w:r>
    </w:p>
    <w:p w:rsidR="00000000" w:rsidDel="00000000" w:rsidP="00000000" w:rsidRDefault="00000000" w:rsidRPr="00000000" w14:paraId="0000002A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Audio</w:t>
      </w:r>
    </w:p>
    <w:p w:rsidR="00000000" w:rsidDel="00000000" w:rsidP="00000000" w:rsidRDefault="00000000" w:rsidRPr="00000000" w14:paraId="0000002C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 </w:t>
      </w:r>
      <w:hyperlink r:id="rId20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“The Young, The Involved, and the Hopeful”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 from I’m Tellin’ Ya! (3:25)</w:t>
      </w:r>
    </w:p>
    <w:p w:rsidR="00000000" w:rsidDel="00000000" w:rsidP="00000000" w:rsidRDefault="00000000" w:rsidRPr="00000000" w14:paraId="0000002D">
      <w:pPr>
        <w:rPr>
          <w:rFonts w:ascii="Lato" w:cs="Lato" w:eastAsia="Lato" w:hAnsi="Lato"/>
        </w:rPr>
      </w:pPr>
      <w:hyperlink r:id="rId21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http://www.imtellinya.com/category/politics/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Interviews with students from the University of Pennsylvania  and Cairn University who are coming out of conversations across religious and political differences. </w:t>
      </w:r>
    </w:p>
    <w:p w:rsidR="00000000" w:rsidDel="00000000" w:rsidP="00000000" w:rsidRDefault="00000000" w:rsidRPr="00000000" w14:paraId="0000002F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Video</w:t>
      </w:r>
    </w:p>
    <w:p w:rsidR="00000000" w:rsidDel="00000000" w:rsidP="00000000" w:rsidRDefault="00000000" w:rsidRPr="00000000" w14:paraId="00000031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 </w:t>
      </w:r>
      <w:hyperlink r:id="rId22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“Family Politics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” from StoryCorps </w:t>
      </w:r>
    </w:p>
    <w:p w:rsidR="00000000" w:rsidDel="00000000" w:rsidP="00000000" w:rsidRDefault="00000000" w:rsidRPr="00000000" w14:paraId="00000032">
      <w:pPr>
        <w:rPr>
          <w:rFonts w:ascii="Lato" w:cs="Lato" w:eastAsia="Lato" w:hAnsi="Lato"/>
        </w:rPr>
      </w:pPr>
      <w:hyperlink r:id="rId23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https://storycorps.org/animation/family-politics/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After years of tension, a father and a daughter talk about their relationship across political divides.</w:t>
      </w:r>
    </w:p>
    <w:p w:rsidR="00000000" w:rsidDel="00000000" w:rsidP="00000000" w:rsidRDefault="00000000" w:rsidRPr="00000000" w14:paraId="00000034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Additional Resources</w:t>
      </w:r>
    </w:p>
    <w:p w:rsidR="00000000" w:rsidDel="00000000" w:rsidP="00000000" w:rsidRDefault="00000000" w:rsidRPr="00000000" w14:paraId="00000036">
      <w:pPr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Lato" w:cs="Lato" w:eastAsia="Lato" w:hAnsi="Lato"/>
        </w:rPr>
      </w:pPr>
      <w:hyperlink r:id="rId24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I’m Telling Ya!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 - 3-4 minute interviews focused on people and issues in the Philadelphia region</w:t>
      </w:r>
    </w:p>
    <w:p w:rsidR="00000000" w:rsidDel="00000000" w:rsidP="00000000" w:rsidRDefault="00000000" w:rsidRPr="00000000" w14:paraId="00000038">
      <w:pPr>
        <w:rPr>
          <w:rFonts w:ascii="Lato" w:cs="Lato" w:eastAsia="Lato" w:hAnsi="Lato"/>
        </w:rPr>
      </w:pPr>
      <w:hyperlink r:id="rId25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StoryCorps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 -online library of stories and interviews, usually between 3-7 minutes</w:t>
      </w:r>
    </w:p>
    <w:p w:rsidR="00000000" w:rsidDel="00000000" w:rsidP="00000000" w:rsidRDefault="00000000" w:rsidRPr="00000000" w14:paraId="00000039">
      <w:pPr>
        <w:rPr>
          <w:rFonts w:ascii="Lato" w:cs="Lato" w:eastAsia="Lato" w:hAnsi="Lato"/>
        </w:rPr>
      </w:pPr>
      <w:hyperlink r:id="rId26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Becoming Wise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- condensed, 10-15 minute versions of 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On Being</w:t>
      </w:r>
      <w:r w:rsidDel="00000000" w:rsidR="00000000" w:rsidRPr="00000000">
        <w:rPr>
          <w:rFonts w:ascii="Lato" w:cs="Lato" w:eastAsia="Lato" w:hAnsi="Lato"/>
          <w:rtl w:val="0"/>
        </w:rPr>
        <w:t xml:space="preserve"> episodes</w:t>
      </w:r>
    </w:p>
    <w:p w:rsidR="00000000" w:rsidDel="00000000" w:rsidP="00000000" w:rsidRDefault="00000000" w:rsidRPr="00000000" w14:paraId="0000003A">
      <w:pPr>
        <w:rPr>
          <w:rFonts w:ascii="Lato" w:cs="Lato" w:eastAsia="Lato" w:hAnsi="Lato"/>
        </w:rPr>
      </w:pPr>
      <w:hyperlink r:id="rId27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TED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- library of talks on human development, psychology, politics, and more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headerReference r:id="rId28" w:type="default"/>
      <w:footerReference r:id="rId2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1771650</wp:posOffset>
          </wp:positionH>
          <wp:positionV relativeFrom="paragraph">
            <wp:posOffset>-85724</wp:posOffset>
          </wp:positionV>
          <wp:extent cx="2401002" cy="542866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01002" cy="54286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2105025</wp:posOffset>
          </wp:positionH>
          <wp:positionV relativeFrom="paragraph">
            <wp:posOffset>-152399</wp:posOffset>
          </wp:positionV>
          <wp:extent cx="1636615" cy="54292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6615" cy="5429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imtellinya.com/category/politics/" TargetMode="External"/><Relationship Id="rId22" Type="http://schemas.openxmlformats.org/officeDocument/2006/relationships/hyperlink" Target="https://storycorps.org/animation/family-politics/" TargetMode="External"/><Relationship Id="rId21" Type="http://schemas.openxmlformats.org/officeDocument/2006/relationships/hyperlink" Target="http://www.imtellinya.com/category/politics/" TargetMode="External"/><Relationship Id="rId24" Type="http://schemas.openxmlformats.org/officeDocument/2006/relationships/hyperlink" Target="http://www.imtellinya.com/" TargetMode="External"/><Relationship Id="rId23" Type="http://schemas.openxmlformats.org/officeDocument/2006/relationships/hyperlink" Target="https://storycorps.org/animation/family-politic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KvWEC2Z0CCU" TargetMode="External"/><Relationship Id="rId26" Type="http://schemas.openxmlformats.org/officeDocument/2006/relationships/hyperlink" Target="https://onbeing.org/series/becoming-wise/" TargetMode="External"/><Relationship Id="rId25" Type="http://schemas.openxmlformats.org/officeDocument/2006/relationships/hyperlink" Target="https://storycorps.org/" TargetMode="External"/><Relationship Id="rId28" Type="http://schemas.openxmlformats.org/officeDocument/2006/relationships/header" Target="header1.xml"/><Relationship Id="rId27" Type="http://schemas.openxmlformats.org/officeDocument/2006/relationships/hyperlink" Target="https://www.ted.com/#/" TargetMode="External"/><Relationship Id="rId5" Type="http://schemas.openxmlformats.org/officeDocument/2006/relationships/styles" Target="styles.xml"/><Relationship Id="rId6" Type="http://schemas.openxmlformats.org/officeDocument/2006/relationships/hyperlink" Target="https://storycorps.org/stories/amina-amdeen-and-joseph-weidknecht-180928/" TargetMode="External"/><Relationship Id="rId29" Type="http://schemas.openxmlformats.org/officeDocument/2006/relationships/footer" Target="footer1.xml"/><Relationship Id="rId7" Type="http://schemas.openxmlformats.org/officeDocument/2006/relationships/hyperlink" Target="https://storycorps.org/stories/amina-amdeen-and-joseph-weidknecht-180928/" TargetMode="External"/><Relationship Id="rId8" Type="http://schemas.openxmlformats.org/officeDocument/2006/relationships/hyperlink" Target="https://storycorps.org/stories/amina-amdeen-and-joseph-weidknecht-180928/" TargetMode="External"/><Relationship Id="rId11" Type="http://schemas.openxmlformats.org/officeDocument/2006/relationships/hyperlink" Target="https://www.youtube.com/watch?v=KvWEC2Z0CCU" TargetMode="External"/><Relationship Id="rId10" Type="http://schemas.openxmlformats.org/officeDocument/2006/relationships/hyperlink" Target="https://www.youtube.com/watch?v=KvWEC2Z0CCU" TargetMode="External"/><Relationship Id="rId13" Type="http://schemas.openxmlformats.org/officeDocument/2006/relationships/hyperlink" Target="https://storycorps.org/stories/bryan-and-michael-wilmoth/" TargetMode="External"/><Relationship Id="rId12" Type="http://schemas.openxmlformats.org/officeDocument/2006/relationships/hyperlink" Target="https://www.ted.com/talks/sarah_kay_if_i_should_have_a_daughter/transcript?language=en" TargetMode="External"/><Relationship Id="rId15" Type="http://schemas.openxmlformats.org/officeDocument/2006/relationships/hyperlink" Target="https://storycorps.org/animation/a-good-man/" TargetMode="External"/><Relationship Id="rId14" Type="http://schemas.openxmlformats.org/officeDocument/2006/relationships/hyperlink" Target="https://storycorps.org/stories/bryan-and-michael-wilmoth/" TargetMode="External"/><Relationship Id="rId17" Type="http://schemas.openxmlformats.org/officeDocument/2006/relationships/hyperlink" Target="https://onbeing.org/programs/good-doubt-frances-kissling/" TargetMode="External"/><Relationship Id="rId16" Type="http://schemas.openxmlformats.org/officeDocument/2006/relationships/hyperlink" Target="https://onbeing.org/programs/good-doubt-frances-kissling/" TargetMode="External"/><Relationship Id="rId19" Type="http://schemas.openxmlformats.org/officeDocument/2006/relationships/hyperlink" Target="https://www.ted.com/talks/chimamanda_adichie_the_danger_of_a_single_story?language=en" TargetMode="External"/><Relationship Id="rId18" Type="http://schemas.openxmlformats.org/officeDocument/2006/relationships/hyperlink" Target="https://www.ted.com/talks/chimamanda_adichie_the_danger_of_a_single_story?language=e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